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8A2A" w14:textId="77777777" w:rsidR="007E42A8" w:rsidRDefault="00232BAD" w:rsidP="007E42A8">
      <w:pPr>
        <w:rPr>
          <w:rFonts w:asciiTheme="minorHAnsi" w:hAnsiTheme="minorHAnsi" w:cstheme="minorHAnsi"/>
          <w:color w:val="70AD47" w:themeColor="accent6"/>
          <w:sz w:val="32"/>
          <w:szCs w:val="32"/>
          <w:u w:val="single"/>
        </w:rPr>
      </w:pPr>
      <w:r w:rsidRPr="00232BAD">
        <w:rPr>
          <w:rFonts w:asciiTheme="minorHAnsi" w:hAnsiTheme="minorHAnsi" w:cstheme="minorHAnsi"/>
          <w:color w:val="70AD47" w:themeColor="accent6"/>
          <w:sz w:val="32"/>
          <w:szCs w:val="32"/>
          <w:u w:val="single"/>
        </w:rPr>
        <w:t>Dehors, ce qui s’</w:t>
      </w:r>
      <w:r w:rsidR="00F928FB">
        <w:rPr>
          <w:rFonts w:asciiTheme="minorHAnsi" w:hAnsiTheme="minorHAnsi" w:cstheme="minorHAnsi"/>
          <w:color w:val="70AD47" w:themeColor="accent6"/>
          <w:sz w:val="32"/>
          <w:szCs w:val="32"/>
          <w:u w:val="single"/>
        </w:rPr>
        <w:t>y vit, c</w:t>
      </w:r>
      <w:r w:rsidRPr="00232BAD">
        <w:rPr>
          <w:rFonts w:asciiTheme="minorHAnsi" w:hAnsiTheme="minorHAnsi" w:cstheme="minorHAnsi"/>
          <w:color w:val="70AD47" w:themeColor="accent6"/>
          <w:sz w:val="32"/>
          <w:szCs w:val="32"/>
          <w:u w:val="single"/>
        </w:rPr>
        <w:t>e qui s’y vise</w:t>
      </w:r>
    </w:p>
    <w:p w14:paraId="2EC13138" w14:textId="77777777" w:rsidR="00C015F3" w:rsidRPr="00232BAD" w:rsidRDefault="00C015F3" w:rsidP="007E42A8">
      <w:pPr>
        <w:rPr>
          <w:rFonts w:asciiTheme="minorHAnsi" w:hAnsiTheme="minorHAnsi" w:cstheme="minorHAnsi"/>
          <w:color w:val="70AD47" w:themeColor="accent6"/>
          <w:sz w:val="32"/>
          <w:szCs w:val="32"/>
          <w:u w:val="single"/>
        </w:rPr>
      </w:pPr>
    </w:p>
    <w:p w14:paraId="448A0184" w14:textId="77777777" w:rsidR="00232BAD" w:rsidRDefault="00F928FB" w:rsidP="007E42A8">
      <w:pPr>
        <w:rPr>
          <w:rFonts w:asciiTheme="minorHAnsi" w:hAnsiTheme="minorHAnsi" w:cstheme="minorHAnsi"/>
        </w:rPr>
      </w:pPr>
      <w:r>
        <w:rPr>
          <w:rFonts w:asciiTheme="minorHAnsi" w:hAnsiTheme="minorHAnsi" w:cstheme="minorHAnsi"/>
        </w:rPr>
        <w:t xml:space="preserve">Nous proposons un classement des activités proposées dans le cadre de l’Ecole du Dehors. Pour catégoriser, nous sommes partis des </w:t>
      </w:r>
      <w:r w:rsidR="00232BAD">
        <w:rPr>
          <w:rFonts w:asciiTheme="minorHAnsi" w:hAnsiTheme="minorHAnsi" w:cstheme="minorHAnsi"/>
        </w:rPr>
        <w:t xml:space="preserve">pratiques déclarées des </w:t>
      </w:r>
      <w:proofErr w:type="spellStart"/>
      <w:r w:rsidR="00232BAD">
        <w:rPr>
          <w:rFonts w:asciiTheme="minorHAnsi" w:hAnsiTheme="minorHAnsi" w:cstheme="minorHAnsi"/>
        </w:rPr>
        <w:t>enseignant.</w:t>
      </w:r>
      <w:proofErr w:type="gramStart"/>
      <w:r w:rsidR="00232BAD">
        <w:rPr>
          <w:rFonts w:asciiTheme="minorHAnsi" w:hAnsiTheme="minorHAnsi" w:cstheme="minorHAnsi"/>
        </w:rPr>
        <w:t>e.s</w:t>
      </w:r>
      <w:proofErr w:type="spellEnd"/>
      <w:proofErr w:type="gramEnd"/>
      <w:r>
        <w:rPr>
          <w:rFonts w:asciiTheme="minorHAnsi" w:hAnsiTheme="minorHAnsi" w:cstheme="minorHAnsi"/>
        </w:rPr>
        <w:t>,</w:t>
      </w:r>
      <w:r w:rsidR="00232BAD">
        <w:rPr>
          <w:rFonts w:asciiTheme="minorHAnsi" w:hAnsiTheme="minorHAnsi" w:cstheme="minorHAnsi"/>
        </w:rPr>
        <w:t xml:space="preserve"> </w:t>
      </w:r>
      <w:r>
        <w:rPr>
          <w:rFonts w:asciiTheme="minorHAnsi" w:hAnsiTheme="minorHAnsi" w:cstheme="minorHAnsi"/>
        </w:rPr>
        <w:t>d’observations</w:t>
      </w:r>
      <w:r w:rsidR="00232BAD">
        <w:rPr>
          <w:rFonts w:asciiTheme="minorHAnsi" w:hAnsiTheme="minorHAnsi" w:cstheme="minorHAnsi"/>
        </w:rPr>
        <w:t xml:space="preserve"> des activités</w:t>
      </w:r>
      <w:r>
        <w:rPr>
          <w:rFonts w:asciiTheme="minorHAnsi" w:hAnsiTheme="minorHAnsi" w:cstheme="minorHAnsi"/>
        </w:rPr>
        <w:t xml:space="preserve"> vécues dehors, de</w:t>
      </w:r>
      <w:r w:rsidR="00232BAD">
        <w:rPr>
          <w:rFonts w:asciiTheme="minorHAnsi" w:hAnsiTheme="minorHAnsi" w:cstheme="minorHAnsi"/>
        </w:rPr>
        <w:t xml:space="preserve"> propositions faites dans les </w:t>
      </w:r>
      <w:r>
        <w:rPr>
          <w:rFonts w:asciiTheme="minorHAnsi" w:hAnsiTheme="minorHAnsi" w:cstheme="minorHAnsi"/>
        </w:rPr>
        <w:t>guides et manuels et</w:t>
      </w:r>
      <w:r w:rsidR="007777A5">
        <w:rPr>
          <w:rFonts w:asciiTheme="minorHAnsi" w:hAnsiTheme="minorHAnsi" w:cstheme="minorHAnsi"/>
        </w:rPr>
        <w:t xml:space="preserve"> </w:t>
      </w:r>
      <w:r w:rsidR="00232BAD">
        <w:rPr>
          <w:rFonts w:asciiTheme="minorHAnsi" w:hAnsiTheme="minorHAnsi" w:cstheme="minorHAnsi"/>
        </w:rPr>
        <w:t>d</w:t>
      </w:r>
      <w:r>
        <w:rPr>
          <w:rFonts w:asciiTheme="minorHAnsi" w:hAnsiTheme="minorHAnsi" w:cstheme="minorHAnsi"/>
        </w:rPr>
        <w:t>e contenus de formation d’</w:t>
      </w:r>
      <w:r w:rsidR="00232BAD">
        <w:rPr>
          <w:rFonts w:asciiTheme="minorHAnsi" w:hAnsiTheme="minorHAnsi" w:cstheme="minorHAnsi"/>
        </w:rPr>
        <w:t xml:space="preserve"> animateurs qui </w:t>
      </w:r>
      <w:r w:rsidR="007777A5">
        <w:rPr>
          <w:rFonts w:asciiTheme="minorHAnsi" w:hAnsiTheme="minorHAnsi" w:cstheme="minorHAnsi"/>
        </w:rPr>
        <w:t>accompagnent</w:t>
      </w:r>
      <w:r w:rsidR="00232BAD">
        <w:rPr>
          <w:rFonts w:asciiTheme="minorHAnsi" w:hAnsiTheme="minorHAnsi" w:cstheme="minorHAnsi"/>
        </w:rPr>
        <w:t xml:space="preserve"> les </w:t>
      </w:r>
      <w:proofErr w:type="spellStart"/>
      <w:r w:rsidR="00232BAD">
        <w:rPr>
          <w:rFonts w:asciiTheme="minorHAnsi" w:hAnsiTheme="minorHAnsi" w:cstheme="minorHAnsi"/>
        </w:rPr>
        <w:t>enseignant.e.s</w:t>
      </w:r>
      <w:proofErr w:type="spellEnd"/>
      <w:r>
        <w:rPr>
          <w:rFonts w:asciiTheme="minorHAnsi" w:hAnsiTheme="minorHAnsi" w:cstheme="minorHAnsi"/>
        </w:rPr>
        <w:t>.</w:t>
      </w:r>
    </w:p>
    <w:p w14:paraId="7D690C6D" w14:textId="77777777" w:rsidR="007E42A8" w:rsidRDefault="00C015F3" w:rsidP="007E42A8">
      <w:pPr>
        <w:rPr>
          <w:rFonts w:asciiTheme="minorHAnsi" w:hAnsiTheme="minorHAnsi" w:cstheme="minorHAnsi"/>
        </w:rPr>
      </w:pPr>
      <w:r>
        <w:rPr>
          <w:noProof/>
          <w:lang w:val="en-US" w:eastAsia="en-US"/>
        </w:rPr>
        <w:drawing>
          <wp:anchor distT="0" distB="0" distL="114300" distR="114300" simplePos="0" relativeHeight="251661312" behindDoc="0" locked="0" layoutInCell="1" allowOverlap="1" wp14:anchorId="178948ED" wp14:editId="08BF6E1D">
            <wp:simplePos x="0" y="0"/>
            <wp:positionH relativeFrom="margin">
              <wp:align>right</wp:align>
            </wp:positionH>
            <wp:positionV relativeFrom="paragraph">
              <wp:posOffset>802640</wp:posOffset>
            </wp:positionV>
            <wp:extent cx="5972810" cy="4312920"/>
            <wp:effectExtent l="0" t="0" r="8890" b="0"/>
            <wp:wrapThrough wrapText="bothSides">
              <wp:wrapPolygon edited="0">
                <wp:start x="0" y="0"/>
                <wp:lineTo x="0" y="21466"/>
                <wp:lineTo x="21563" y="21466"/>
                <wp:lineTo x="2156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2810" cy="4312920"/>
                    </a:xfrm>
                    <a:prstGeom prst="rect">
                      <a:avLst/>
                    </a:prstGeom>
                  </pic:spPr>
                </pic:pic>
              </a:graphicData>
            </a:graphic>
          </wp:anchor>
        </w:drawing>
      </w:r>
      <w:r>
        <w:rPr>
          <w:noProof/>
          <w:lang w:val="en-US" w:eastAsia="en-US"/>
        </w:rPr>
        <mc:AlternateContent>
          <mc:Choice Requires="wps">
            <w:drawing>
              <wp:anchor distT="0" distB="0" distL="114300" distR="114300" simplePos="0" relativeHeight="251663360" behindDoc="0" locked="0" layoutInCell="1" allowOverlap="1" wp14:anchorId="32F002FC" wp14:editId="3CAF5D15">
                <wp:simplePos x="0" y="0"/>
                <wp:positionH relativeFrom="margin">
                  <wp:align>left</wp:align>
                </wp:positionH>
                <wp:positionV relativeFrom="paragraph">
                  <wp:posOffset>433705</wp:posOffset>
                </wp:positionV>
                <wp:extent cx="6400800" cy="304800"/>
                <wp:effectExtent l="0" t="0" r="0" b="0"/>
                <wp:wrapTopAndBottom/>
                <wp:docPr id="1" name="Zone de texte 1"/>
                <wp:cNvGraphicFramePr/>
                <a:graphic xmlns:a="http://schemas.openxmlformats.org/drawingml/2006/main">
                  <a:graphicData uri="http://schemas.microsoft.com/office/word/2010/wordprocessingShape">
                    <wps:wsp>
                      <wps:cNvSpPr txBox="1"/>
                      <wps:spPr>
                        <a:xfrm>
                          <a:off x="0" y="0"/>
                          <a:ext cx="6400800" cy="304800"/>
                        </a:xfrm>
                        <a:prstGeom prst="rect">
                          <a:avLst/>
                        </a:prstGeom>
                        <a:solidFill>
                          <a:prstClr val="white"/>
                        </a:solidFill>
                        <a:ln>
                          <a:noFill/>
                        </a:ln>
                      </wps:spPr>
                      <wps:txbx>
                        <w:txbxContent>
                          <w:p w14:paraId="007FAF18" w14:textId="77777777" w:rsidR="00C015F3" w:rsidRPr="00C015F3" w:rsidRDefault="00C015F3" w:rsidP="00C015F3">
                            <w:pPr>
                              <w:pStyle w:val="Legende"/>
                              <w:rPr>
                                <w:color w:val="2F5496" w:themeColor="accent5" w:themeShade="BF"/>
                              </w:rPr>
                            </w:pPr>
                            <w:r w:rsidRPr="00C015F3">
                              <w:rPr>
                                <w:color w:val="2F5496" w:themeColor="accent5" w:themeShade="BF"/>
                              </w:rPr>
                              <w:t xml:space="preserve">Figure 1 : </w:t>
                            </w:r>
                            <w:r>
                              <w:rPr>
                                <w:color w:val="2F5496" w:themeColor="accent5" w:themeShade="BF"/>
                              </w:rPr>
                              <w:t>Ecole Dehors</w:t>
                            </w:r>
                            <w:r w:rsidRPr="00C015F3">
                              <w:rPr>
                                <w:color w:val="2F5496" w:themeColor="accent5" w:themeShade="BF"/>
                              </w:rPr>
                              <w:t xml:space="preserve"> </w:t>
                            </w:r>
                            <w:r>
                              <w:rPr>
                                <w:color w:val="2F5496" w:themeColor="accent5" w:themeShade="BF"/>
                              </w:rPr>
                              <w:t xml:space="preserve">- </w:t>
                            </w:r>
                            <w:r w:rsidRPr="00C015F3">
                              <w:rPr>
                                <w:color w:val="2F5496" w:themeColor="accent5" w:themeShade="BF"/>
                              </w:rPr>
                              <w:t>R</w:t>
                            </w:r>
                            <w:r>
                              <w:rPr>
                                <w:color w:val="2F5496" w:themeColor="accent5" w:themeShade="BF"/>
                              </w:rPr>
                              <w:t xml:space="preserve">eprésentation schématique ce qui s’y vit et s’y vise </w:t>
                            </w:r>
                          </w:p>
                          <w:p w14:paraId="3D6CD9A6" w14:textId="77777777" w:rsidR="00C015F3" w:rsidRPr="00C015F3" w:rsidRDefault="00C015F3" w:rsidP="00C015F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F002FC" id="_x0000_t202" coordsize="21600,21600" o:spt="202" path="m,l,21600r21600,l21600,xe">
                <v:stroke joinstyle="miter"/>
                <v:path gradientshapeok="t" o:connecttype="rect"/>
              </v:shapetype>
              <v:shape id="Zone de texte 1" o:spid="_x0000_s1026" type="#_x0000_t202" style="position:absolute;left:0;text-align:left;margin-left:0;margin-top:34.15pt;width:7in;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" stroked="f">
                <v:textbox inset="0,0,0,0">
                  <w:txbxContent>
                    <w:p w14:paraId="007FAF18" w14:textId="77777777" w:rsidR="00C015F3" w:rsidRPr="00C015F3" w:rsidRDefault="00C015F3" w:rsidP="00C015F3">
                      <w:pPr>
                        <w:pStyle w:val="Legende"/>
                        <w:rPr>
                          <w:color w:val="2F5496" w:themeColor="accent5" w:themeShade="BF"/>
                        </w:rPr>
                      </w:pPr>
                      <w:r w:rsidRPr="00C015F3">
                        <w:rPr>
                          <w:color w:val="2F5496" w:themeColor="accent5" w:themeShade="BF"/>
                        </w:rPr>
                        <w:t xml:space="preserve">Figure 1 : </w:t>
                      </w:r>
                      <w:r>
                        <w:rPr>
                          <w:color w:val="2F5496" w:themeColor="accent5" w:themeShade="BF"/>
                        </w:rPr>
                        <w:t>Ecole Dehors</w:t>
                      </w:r>
                      <w:r w:rsidRPr="00C015F3">
                        <w:rPr>
                          <w:color w:val="2F5496" w:themeColor="accent5" w:themeShade="BF"/>
                        </w:rPr>
                        <w:t xml:space="preserve"> </w:t>
                      </w:r>
                      <w:r>
                        <w:rPr>
                          <w:color w:val="2F5496" w:themeColor="accent5" w:themeShade="BF"/>
                        </w:rPr>
                        <w:t xml:space="preserve">- </w:t>
                      </w:r>
                      <w:r w:rsidRPr="00C015F3">
                        <w:rPr>
                          <w:color w:val="2F5496" w:themeColor="accent5" w:themeShade="BF"/>
                        </w:rPr>
                        <w:t>R</w:t>
                      </w:r>
                      <w:r>
                        <w:rPr>
                          <w:color w:val="2F5496" w:themeColor="accent5" w:themeShade="BF"/>
                        </w:rPr>
                        <w:t xml:space="preserve">eprésentation schématique ce qui s’y vit et s’y vise </w:t>
                      </w:r>
                    </w:p>
                    <w:p w14:paraId="3D6CD9A6" w14:textId="77777777" w:rsidR="00C015F3" w:rsidRPr="00C015F3" w:rsidRDefault="00C015F3" w:rsidP="00C015F3"/>
                  </w:txbxContent>
                </v:textbox>
                <w10:wrap type="topAndBottom" anchorx="margin"/>
              </v:shape>
            </w:pict>
          </mc:Fallback>
        </mc:AlternateContent>
      </w:r>
      <w:r w:rsidR="006906BB">
        <w:rPr>
          <w:rFonts w:asciiTheme="minorHAnsi" w:hAnsiTheme="minorHAnsi" w:cstheme="minorHAnsi"/>
        </w:rPr>
        <w:t xml:space="preserve">Au constat de la diversité de ce qui se fait en École du dehors, </w:t>
      </w:r>
      <w:r w:rsidR="0080671D">
        <w:rPr>
          <w:rFonts w:asciiTheme="minorHAnsi" w:hAnsiTheme="minorHAnsi" w:cstheme="minorHAnsi"/>
        </w:rPr>
        <w:t xml:space="preserve">ces catégories aident à situer ce que l’on fait et ce que l’on vise.  </w:t>
      </w:r>
    </w:p>
    <w:p w14:paraId="420EABE1" w14:textId="77777777" w:rsidR="00C015F3" w:rsidRDefault="00C015F3" w:rsidP="007E42A8">
      <w:pPr>
        <w:rPr>
          <w:rFonts w:asciiTheme="minorHAnsi" w:hAnsiTheme="minorHAnsi" w:cstheme="minorHAnsi"/>
        </w:rPr>
      </w:pPr>
    </w:p>
    <w:p w14:paraId="47E4C15C" w14:textId="77777777" w:rsidR="00C015F3" w:rsidRDefault="00C015F3" w:rsidP="007E42A8">
      <w:pPr>
        <w:rPr>
          <w:rFonts w:asciiTheme="minorHAnsi" w:hAnsiTheme="minorHAnsi" w:cstheme="minorHAnsi"/>
        </w:rPr>
      </w:pPr>
    </w:p>
    <w:p w14:paraId="2DDAD278" w14:textId="77777777" w:rsidR="007E42A8" w:rsidRDefault="0080671D" w:rsidP="007E42A8">
      <w:pPr>
        <w:rPr>
          <w:rFonts w:asciiTheme="minorHAnsi" w:hAnsiTheme="minorHAnsi" w:cstheme="minorHAnsi"/>
        </w:rPr>
      </w:pPr>
      <w:r>
        <w:rPr>
          <w:rFonts w:asciiTheme="minorHAnsi" w:hAnsiTheme="minorHAnsi" w:cstheme="minorHAnsi"/>
        </w:rPr>
        <w:t xml:space="preserve">Pour construire ce schéma, </w:t>
      </w:r>
      <w:r w:rsidR="007E42A8">
        <w:rPr>
          <w:rFonts w:asciiTheme="minorHAnsi" w:hAnsiTheme="minorHAnsi" w:cstheme="minorHAnsi"/>
        </w:rPr>
        <w:t xml:space="preserve">nous avons identifié deux axes en tension. Un premier axe concerne les approches et les méthodes avec, à un pôle (Nord), l’idée d’approches informelles, de méthodes naturelles, d’activités libres, qui aboutissent à des apprentissages fortuits… qui entre en tension avec une approche « cognitive », dirigée par des objectifs d’apprentissages définis (anticipés par l’enseignant ou fortuits), aux apprentissages organisés et structurés par l’enseignant (pôle Sud). </w:t>
      </w:r>
    </w:p>
    <w:p w14:paraId="3EC91C96" w14:textId="77777777" w:rsidR="007E42A8" w:rsidRDefault="007E42A8" w:rsidP="007E42A8">
      <w:pPr>
        <w:rPr>
          <w:rFonts w:asciiTheme="minorHAnsi" w:hAnsiTheme="minorHAnsi" w:cstheme="minorHAnsi"/>
        </w:rPr>
      </w:pPr>
      <w:r>
        <w:rPr>
          <w:rFonts w:asciiTheme="minorHAnsi" w:hAnsiTheme="minorHAnsi" w:cstheme="minorHAnsi"/>
        </w:rPr>
        <w:lastRenderedPageBreak/>
        <w:t xml:space="preserve">Un second axe situe d’avantage le rôle </w:t>
      </w:r>
      <w:r>
        <w:rPr>
          <w:rFonts w:asciiTheme="minorHAnsi" w:hAnsiTheme="minorHAnsi" w:cstheme="minorHAnsi"/>
          <w:iCs/>
        </w:rPr>
        <w:t>du</w:t>
      </w:r>
      <w:r>
        <w:rPr>
          <w:rFonts w:asciiTheme="minorHAnsi" w:hAnsiTheme="minorHAnsi" w:cstheme="minorHAnsi"/>
          <w:i/>
        </w:rPr>
        <w:t xml:space="preserve"> </w:t>
      </w:r>
      <w:r>
        <w:rPr>
          <w:rFonts w:asciiTheme="minorHAnsi" w:hAnsiTheme="minorHAnsi" w:cstheme="minorHAnsi"/>
          <w:iCs/>
        </w:rPr>
        <w:t>dehors</w:t>
      </w:r>
      <w:r>
        <w:rPr>
          <w:rFonts w:asciiTheme="minorHAnsi" w:hAnsiTheme="minorHAnsi" w:cstheme="minorHAnsi"/>
        </w:rPr>
        <w:t> : comme un contexte pour faire, vivre ou apprendre (pôle Ouest), ou comme objet à vivre ou à apprendre (pôle Est).</w:t>
      </w:r>
    </w:p>
    <w:p w14:paraId="445A7BE9" w14:textId="77777777" w:rsidR="007E42A8" w:rsidRPr="006906BB" w:rsidRDefault="007E42A8" w:rsidP="007E42A8">
      <w:pPr>
        <w:rPr>
          <w:rFonts w:asciiTheme="minorHAnsi" w:hAnsiTheme="minorHAnsi" w:cstheme="minorHAnsi"/>
        </w:rPr>
      </w:pPr>
      <w:r w:rsidRPr="007E42A8">
        <w:rPr>
          <w:rFonts w:asciiTheme="minorHAnsi" w:hAnsiTheme="minorHAnsi" w:cstheme="minorHAnsi"/>
        </w:rPr>
        <w:t>Cela nous permet de circonscrire quatre zones qui correspondent à des tendances types pour les activités d’apprentissage vécues dehors et pour lesquelles nous avons associé des profils d’enfant ou caricatures : « Je fais des activités dehors » (zone 1 : l’enfant scout) ; « Je me sens bien dehors » (zone 2 : l’enfant des bois) ; « J’apprends le dehors » (zone 3 : l’enfant naturaliste) et « J’apprends (les sciences) dehors » (zone 4 : l’enfant élève dehors).</w:t>
      </w:r>
    </w:p>
    <w:p w14:paraId="5E50762E" w14:textId="77777777" w:rsidR="007E42A8" w:rsidRPr="006906BB" w:rsidRDefault="007E42A8" w:rsidP="007E42A8">
      <w:pPr>
        <w:rPr>
          <w:rFonts w:asciiTheme="minorHAnsi" w:hAnsiTheme="minorHAnsi" w:cstheme="minorHAnsi"/>
        </w:rPr>
      </w:pPr>
      <w:r w:rsidRPr="006906BB">
        <w:rPr>
          <w:rFonts w:asciiTheme="minorHAnsi" w:hAnsiTheme="minorHAnsi" w:cstheme="minorHAnsi"/>
        </w:rPr>
        <w:t>Si nous traitons de la discipline scientifique, la distinction entre les zones 3 et 4 est peut-être peu perceptible d’un premier abord. La zone 3 désigne des apprentissages liés à la description de la nature : connaitre le nom des choses. La zone 4, quant à elle, vise des apprentissages plus complexes en lien avec la compréhension des phénomènes et la construction de concepts, en exerçant les modes de pensée propre à la discipline.</w:t>
      </w:r>
    </w:p>
    <w:p w14:paraId="4FD2A910" w14:textId="77777777" w:rsidR="007E42A8" w:rsidRDefault="007E42A8" w:rsidP="007E42A8">
      <w:pPr>
        <w:rPr>
          <w:rFonts w:asciiTheme="minorHAnsi" w:hAnsiTheme="minorHAnsi" w:cstheme="minorHAnsi"/>
        </w:rPr>
      </w:pPr>
      <w:r w:rsidRPr="006906BB">
        <w:rPr>
          <w:rFonts w:asciiTheme="minorHAnsi" w:hAnsiTheme="minorHAnsi" w:cstheme="minorHAnsi"/>
        </w:rPr>
        <w:t xml:space="preserve">Nous illustrons ci-dessous les différentes catégories par des exemples d’activités tels que proposées par exemple dans le guide : L’école à ciel ouvert, 200 activités de plein air pour enseigner, de la fondation </w:t>
      </w:r>
      <w:proofErr w:type="spellStart"/>
      <w:r w:rsidRPr="006906BB">
        <w:rPr>
          <w:rFonts w:asciiTheme="minorHAnsi" w:hAnsiTheme="minorHAnsi" w:cstheme="minorHAnsi"/>
        </w:rPr>
        <w:t>Silviva</w:t>
      </w:r>
      <w:proofErr w:type="spellEnd"/>
      <w:r w:rsidRPr="006906BB">
        <w:rPr>
          <w:rFonts w:asciiTheme="minorHAnsi" w:hAnsiTheme="minorHAnsi" w:cstheme="minorHAnsi"/>
        </w:rPr>
        <w:t xml:space="preserve"> (2019) (activités marquées ci-dessous d’une astérisque) ou observées sur le terrain ou encore racontées</w:t>
      </w:r>
      <w:r w:rsidR="006906BB">
        <w:rPr>
          <w:rFonts w:asciiTheme="minorHAnsi" w:hAnsiTheme="minorHAnsi" w:cstheme="minorHAnsi"/>
        </w:rPr>
        <w:t xml:space="preserve"> par des enseignants partenaires de notre recherche.</w:t>
      </w:r>
    </w:p>
    <w:p w14:paraId="5FACA94C" w14:textId="77777777" w:rsidR="006906BB" w:rsidRDefault="006906BB" w:rsidP="007E42A8">
      <w:pPr>
        <w:rPr>
          <w:rFonts w:asciiTheme="minorHAnsi" w:hAnsiTheme="minorHAnsi" w:cstheme="minorHAnsi"/>
        </w:rPr>
      </w:pPr>
    </w:p>
    <w:p w14:paraId="7DE7A451" w14:textId="77777777" w:rsidR="006906BB" w:rsidRPr="006906BB" w:rsidRDefault="006906BB" w:rsidP="007E42A8">
      <w:pPr>
        <w:rPr>
          <w:rFonts w:asciiTheme="minorHAnsi" w:hAnsiTheme="minorHAnsi" w:cstheme="minorHAnsi"/>
        </w:rPr>
      </w:pPr>
    </w:p>
    <w:tbl>
      <w:tblPr>
        <w:tblStyle w:val="Grilledutableau"/>
        <w:tblW w:w="0" w:type="auto"/>
        <w:tblInd w:w="0" w:type="dxa"/>
        <w:tblLook w:val="04A0" w:firstRow="1" w:lastRow="0" w:firstColumn="1" w:lastColumn="0" w:noHBand="0" w:noVBand="1"/>
      </w:tblPr>
      <w:tblGrid>
        <w:gridCol w:w="2689"/>
        <w:gridCol w:w="6707"/>
      </w:tblGrid>
      <w:tr w:rsidR="006906BB" w:rsidRPr="007E42A8" w14:paraId="6B4F5782" w14:textId="77777777" w:rsidTr="00787EAE">
        <w:tc>
          <w:tcPr>
            <w:tcW w:w="9396" w:type="dxa"/>
            <w:gridSpan w:val="2"/>
            <w:tcBorders>
              <w:top w:val="single" w:sz="4" w:space="0" w:color="auto"/>
              <w:left w:val="single" w:sz="4" w:space="0" w:color="auto"/>
              <w:bottom w:val="single" w:sz="4" w:space="0" w:color="auto"/>
              <w:right w:val="single" w:sz="4" w:space="0" w:color="auto"/>
            </w:tcBorders>
          </w:tcPr>
          <w:p w14:paraId="3A97C437" w14:textId="77777777" w:rsidR="006906BB" w:rsidRPr="006906BB" w:rsidRDefault="006906BB" w:rsidP="006906BB">
            <w:pPr>
              <w:pStyle w:val="Paragraphedeliste"/>
              <w:numPr>
                <w:ilvl w:val="0"/>
                <w:numId w:val="0"/>
              </w:numPr>
              <w:spacing w:after="160" w:line="254" w:lineRule="auto"/>
              <w:ind w:left="720"/>
              <w:jc w:val="center"/>
              <w:rPr>
                <w:lang w:val="fr-BE"/>
              </w:rPr>
            </w:pPr>
            <w:r>
              <w:rPr>
                <w:lang w:val="fr-BE"/>
              </w:rPr>
              <w:t>Tableau : Exemples d’activités pour illustrer  les catégories de ce qui se vit  dehors</w:t>
            </w:r>
          </w:p>
        </w:tc>
      </w:tr>
      <w:tr w:rsidR="007E42A8" w:rsidRPr="007E42A8" w14:paraId="7A4683B2" w14:textId="77777777" w:rsidTr="006906BB">
        <w:tc>
          <w:tcPr>
            <w:tcW w:w="2689" w:type="dxa"/>
            <w:tcBorders>
              <w:top w:val="single" w:sz="4" w:space="0" w:color="auto"/>
              <w:left w:val="single" w:sz="4" w:space="0" w:color="auto"/>
              <w:bottom w:val="single" w:sz="4" w:space="0" w:color="auto"/>
              <w:right w:val="single" w:sz="4" w:space="0" w:color="auto"/>
            </w:tcBorders>
          </w:tcPr>
          <w:p w14:paraId="5DDCF4C9" w14:textId="77777777" w:rsidR="006906BB" w:rsidRDefault="006906BB" w:rsidP="006906BB">
            <w:pPr>
              <w:pStyle w:val="Paragraphedeliste"/>
              <w:numPr>
                <w:ilvl w:val="0"/>
                <w:numId w:val="0"/>
              </w:numPr>
              <w:spacing w:after="160" w:line="254" w:lineRule="auto"/>
              <w:rPr>
                <w:i/>
                <w:lang w:val="fr-BE"/>
              </w:rPr>
            </w:pPr>
          </w:p>
          <w:p w14:paraId="00A7A5B4" w14:textId="77777777" w:rsidR="007E42A8" w:rsidRPr="006906BB" w:rsidRDefault="007E42A8" w:rsidP="006906BB">
            <w:pPr>
              <w:pStyle w:val="Paragraphedeliste"/>
              <w:numPr>
                <w:ilvl w:val="0"/>
                <w:numId w:val="0"/>
              </w:numPr>
              <w:spacing w:after="160" w:line="254" w:lineRule="auto"/>
              <w:rPr>
                <w:i/>
                <w:lang w:val="fr-BE"/>
              </w:rPr>
            </w:pPr>
            <w:r w:rsidRPr="006906BB">
              <w:rPr>
                <w:i/>
                <w:lang w:val="fr-BE"/>
              </w:rPr>
              <w:t>Zone 1</w:t>
            </w:r>
          </w:p>
          <w:p w14:paraId="3A8CA655" w14:textId="77777777" w:rsidR="006906BB" w:rsidRDefault="006906BB" w:rsidP="006906BB">
            <w:pPr>
              <w:pStyle w:val="Paragraphedeliste"/>
              <w:numPr>
                <w:ilvl w:val="0"/>
                <w:numId w:val="0"/>
              </w:numPr>
              <w:spacing w:after="160" w:line="254" w:lineRule="auto"/>
              <w:rPr>
                <w:lang w:val="fr-BE"/>
              </w:rPr>
            </w:pPr>
          </w:p>
          <w:p w14:paraId="40D5F0B5" w14:textId="77777777" w:rsidR="007E42A8" w:rsidRPr="007E42A8" w:rsidRDefault="0087233C" w:rsidP="00F928FB">
            <w:pPr>
              <w:pStyle w:val="Paragraphedeliste"/>
              <w:numPr>
                <w:ilvl w:val="0"/>
                <w:numId w:val="0"/>
              </w:numPr>
              <w:spacing w:after="160" w:line="254" w:lineRule="auto"/>
              <w:jc w:val="left"/>
              <w:rPr>
                <w:i/>
                <w:lang w:val="fr-BE"/>
              </w:rPr>
            </w:pPr>
            <w:r>
              <w:rPr>
                <w:lang w:val="fr-BE"/>
              </w:rPr>
              <w:t xml:space="preserve">« Je me débrouille dehors </w:t>
            </w:r>
            <w:r w:rsidR="007E42A8" w:rsidRPr="007E42A8">
              <w:rPr>
                <w:lang w:val="fr-BE"/>
              </w:rPr>
              <w:t> »</w:t>
            </w:r>
          </w:p>
          <w:p w14:paraId="6A802F49" w14:textId="77777777" w:rsidR="007E42A8" w:rsidRPr="007E42A8" w:rsidRDefault="007E42A8" w:rsidP="006906BB">
            <w:pPr>
              <w:pStyle w:val="Paragraphedeliste"/>
              <w:numPr>
                <w:ilvl w:val="0"/>
                <w:numId w:val="0"/>
              </w:numPr>
              <w:spacing w:after="160" w:line="254" w:lineRule="auto"/>
              <w:ind w:left="720"/>
              <w:rPr>
                <w:i/>
                <w:lang w:val="fr-BE"/>
              </w:rPr>
            </w:pPr>
          </w:p>
        </w:tc>
        <w:tc>
          <w:tcPr>
            <w:tcW w:w="6707" w:type="dxa"/>
            <w:tcBorders>
              <w:top w:val="single" w:sz="4" w:space="0" w:color="auto"/>
              <w:left w:val="single" w:sz="4" w:space="0" w:color="auto"/>
              <w:bottom w:val="single" w:sz="4" w:space="0" w:color="auto"/>
              <w:right w:val="single" w:sz="4" w:space="0" w:color="auto"/>
            </w:tcBorders>
          </w:tcPr>
          <w:p w14:paraId="52A2F410" w14:textId="77777777" w:rsidR="006906BB" w:rsidRPr="006906BB" w:rsidRDefault="006906BB" w:rsidP="006906BB">
            <w:pPr>
              <w:pStyle w:val="Paragraphedeliste"/>
              <w:numPr>
                <w:ilvl w:val="0"/>
                <w:numId w:val="0"/>
              </w:numPr>
              <w:spacing w:after="160" w:line="254" w:lineRule="auto"/>
              <w:ind w:left="720"/>
              <w:rPr>
                <w:lang w:val="fr-BE"/>
              </w:rPr>
            </w:pPr>
          </w:p>
          <w:p w14:paraId="5079DCE8" w14:textId="77777777" w:rsidR="007E42A8" w:rsidRPr="007E42A8" w:rsidRDefault="007E42A8" w:rsidP="007F13B2">
            <w:pPr>
              <w:pStyle w:val="Paragraphedeliste"/>
              <w:numPr>
                <w:ilvl w:val="0"/>
                <w:numId w:val="2"/>
              </w:numPr>
              <w:spacing w:after="160" w:line="254" w:lineRule="auto"/>
              <w:rPr>
                <w:lang w:val="fr-BE"/>
              </w:rPr>
            </w:pPr>
            <w:r w:rsidRPr="007E42A8">
              <w:rPr>
                <w:i/>
                <w:lang w:val="fr-BE"/>
              </w:rPr>
              <w:t xml:space="preserve">En équilibre sur un tronc *: </w:t>
            </w:r>
            <w:r w:rsidRPr="007E42A8">
              <w:rPr>
                <w:lang w:val="fr-BE"/>
              </w:rPr>
              <w:t>Parcourir d’un bout à l’autre une branche ou un tronc posé sur le sol, de différentes manières</w:t>
            </w:r>
          </w:p>
          <w:p w14:paraId="6E1C9AFA" w14:textId="77777777" w:rsidR="007E42A8" w:rsidRPr="007E42A8" w:rsidRDefault="007E42A8" w:rsidP="007F13B2">
            <w:pPr>
              <w:pStyle w:val="Paragraphedeliste"/>
              <w:numPr>
                <w:ilvl w:val="0"/>
                <w:numId w:val="2"/>
              </w:numPr>
              <w:spacing w:after="160" w:line="254" w:lineRule="auto"/>
              <w:rPr>
                <w:lang w:val="fr-BE"/>
              </w:rPr>
            </w:pPr>
            <w:r w:rsidRPr="007E42A8">
              <w:rPr>
                <w:i/>
                <w:lang w:val="fr-BE"/>
              </w:rPr>
              <w:t xml:space="preserve">Construction en corde * : </w:t>
            </w:r>
            <w:r w:rsidRPr="007E42A8">
              <w:rPr>
                <w:lang w:val="fr-BE"/>
              </w:rPr>
              <w:t>Réaliser une construction en pleine nature permet de s’initier à la réalisation de quelques nœuds, ce qui stimule la motricité fine, l’observation et la mémorisation. Une fois la construction installée les enfants peuvent y grimper, s’y suspendre ou s’y balancer.</w:t>
            </w:r>
          </w:p>
          <w:p w14:paraId="5A725BD5" w14:textId="77777777" w:rsidR="007E42A8" w:rsidRPr="007E42A8" w:rsidRDefault="007E42A8" w:rsidP="007F13B2">
            <w:pPr>
              <w:pStyle w:val="Paragraphedeliste"/>
              <w:numPr>
                <w:ilvl w:val="0"/>
                <w:numId w:val="2"/>
              </w:numPr>
              <w:spacing w:after="160" w:line="254" w:lineRule="auto"/>
              <w:rPr>
                <w:i/>
                <w:lang w:val="fr-BE"/>
              </w:rPr>
            </w:pPr>
            <w:r w:rsidRPr="007E42A8">
              <w:rPr>
                <w:i/>
                <w:lang w:val="fr-BE"/>
              </w:rPr>
              <w:t>Apprendre à faire un feu et l’entretenir.</w:t>
            </w:r>
          </w:p>
          <w:p w14:paraId="7039F3AF" w14:textId="77777777" w:rsidR="007E42A8" w:rsidRPr="007E42A8" w:rsidRDefault="007E42A8" w:rsidP="006906BB">
            <w:pPr>
              <w:pStyle w:val="Paragraphedeliste"/>
              <w:numPr>
                <w:ilvl w:val="0"/>
                <w:numId w:val="0"/>
              </w:numPr>
              <w:spacing w:after="160" w:line="254" w:lineRule="auto"/>
              <w:ind w:left="720"/>
              <w:rPr>
                <w:i/>
                <w:lang w:val="fr-BE"/>
              </w:rPr>
            </w:pPr>
          </w:p>
        </w:tc>
      </w:tr>
      <w:tr w:rsidR="007E42A8" w:rsidRPr="007E42A8" w14:paraId="66DD9B50" w14:textId="77777777" w:rsidTr="006906BB">
        <w:tc>
          <w:tcPr>
            <w:tcW w:w="2689" w:type="dxa"/>
            <w:tcBorders>
              <w:top w:val="single" w:sz="4" w:space="0" w:color="auto"/>
              <w:left w:val="single" w:sz="4" w:space="0" w:color="auto"/>
              <w:bottom w:val="single" w:sz="4" w:space="0" w:color="auto"/>
              <w:right w:val="single" w:sz="4" w:space="0" w:color="auto"/>
            </w:tcBorders>
            <w:hideMark/>
          </w:tcPr>
          <w:p w14:paraId="7E373EEB" w14:textId="77777777" w:rsidR="007E42A8" w:rsidRPr="007E42A8" w:rsidRDefault="007E42A8">
            <w:r w:rsidRPr="007E42A8">
              <w:t>Zone 2</w:t>
            </w:r>
          </w:p>
          <w:p w14:paraId="2875B5EF" w14:textId="77777777" w:rsidR="007E42A8" w:rsidRPr="007E42A8" w:rsidRDefault="007E42A8" w:rsidP="00F928FB">
            <w:pPr>
              <w:jc w:val="left"/>
            </w:pPr>
            <w:r w:rsidRPr="007E42A8">
              <w:t>« Je me sens bien dehors »</w:t>
            </w:r>
          </w:p>
        </w:tc>
        <w:tc>
          <w:tcPr>
            <w:tcW w:w="6707" w:type="dxa"/>
            <w:tcBorders>
              <w:top w:val="single" w:sz="4" w:space="0" w:color="auto"/>
              <w:left w:val="single" w:sz="4" w:space="0" w:color="auto"/>
              <w:bottom w:val="single" w:sz="4" w:space="0" w:color="auto"/>
              <w:right w:val="single" w:sz="4" w:space="0" w:color="auto"/>
            </w:tcBorders>
            <w:hideMark/>
          </w:tcPr>
          <w:p w14:paraId="46D14F57" w14:textId="77777777" w:rsidR="007E42A8" w:rsidRPr="007E42A8" w:rsidRDefault="007E42A8" w:rsidP="007F13B2">
            <w:pPr>
              <w:pStyle w:val="Paragraphedeliste"/>
              <w:numPr>
                <w:ilvl w:val="0"/>
                <w:numId w:val="2"/>
              </w:numPr>
              <w:spacing w:after="160" w:line="254" w:lineRule="auto"/>
              <w:rPr>
                <w:i/>
                <w:lang w:val="fr-BE"/>
              </w:rPr>
            </w:pPr>
            <w:r w:rsidRPr="007E42A8">
              <w:rPr>
                <w:i/>
                <w:lang w:val="fr-BE"/>
              </w:rPr>
              <w:t xml:space="preserve">Mon espace nature : * </w:t>
            </w:r>
            <w:r w:rsidRPr="007E42A8">
              <w:rPr>
                <w:lang w:val="fr-BE"/>
              </w:rPr>
              <w:t>Chaque enfant se cherche en endroit en plein air qui lui plait, où il se sent bien. Ce lieu peut être un arbre, un coin de jardin, un banc dans un parc. L’enfant est invité à y passer régulièrement du temps pour s’y ressourcer. Diverses activités sont proposées dont les consignes sont par exemple : photographie ton espace à différentes saisons ; invente une histoire ou un poème sur quelqu’un qui habite ton espace nature ; décris ton espace nature (couleur, son, lumière, température…).</w:t>
            </w:r>
          </w:p>
        </w:tc>
      </w:tr>
      <w:tr w:rsidR="007E42A8" w:rsidRPr="007E42A8" w14:paraId="686EF176" w14:textId="77777777" w:rsidTr="006906BB">
        <w:tc>
          <w:tcPr>
            <w:tcW w:w="2689" w:type="dxa"/>
            <w:tcBorders>
              <w:top w:val="single" w:sz="4" w:space="0" w:color="auto"/>
              <w:left w:val="single" w:sz="4" w:space="0" w:color="auto"/>
              <w:bottom w:val="single" w:sz="4" w:space="0" w:color="auto"/>
              <w:right w:val="single" w:sz="4" w:space="0" w:color="auto"/>
            </w:tcBorders>
            <w:hideMark/>
          </w:tcPr>
          <w:p w14:paraId="5E9C3CAE" w14:textId="77777777" w:rsidR="007E42A8" w:rsidRPr="007E42A8" w:rsidRDefault="007E42A8">
            <w:r w:rsidRPr="007E42A8">
              <w:lastRenderedPageBreak/>
              <w:t>Zone 3</w:t>
            </w:r>
          </w:p>
          <w:p w14:paraId="2AD0B947" w14:textId="77777777" w:rsidR="007E42A8" w:rsidRPr="007E42A8" w:rsidRDefault="007E42A8">
            <w:r w:rsidRPr="007E42A8">
              <w:t>« J’apprends le dehors »</w:t>
            </w:r>
          </w:p>
        </w:tc>
        <w:tc>
          <w:tcPr>
            <w:tcW w:w="6707" w:type="dxa"/>
            <w:tcBorders>
              <w:top w:val="single" w:sz="4" w:space="0" w:color="auto"/>
              <w:left w:val="single" w:sz="4" w:space="0" w:color="auto"/>
              <w:bottom w:val="single" w:sz="4" w:space="0" w:color="auto"/>
              <w:right w:val="single" w:sz="4" w:space="0" w:color="auto"/>
            </w:tcBorders>
            <w:hideMark/>
          </w:tcPr>
          <w:p w14:paraId="24609902" w14:textId="77777777" w:rsidR="007E42A8" w:rsidRPr="007E42A8" w:rsidRDefault="007E42A8" w:rsidP="007F13B2">
            <w:pPr>
              <w:pStyle w:val="Paragraphedeliste"/>
              <w:numPr>
                <w:ilvl w:val="0"/>
                <w:numId w:val="2"/>
              </w:numPr>
              <w:spacing w:after="160" w:line="254" w:lineRule="auto"/>
              <w:rPr>
                <w:lang w:val="fr-BE"/>
              </w:rPr>
            </w:pPr>
            <w:r w:rsidRPr="007E42A8">
              <w:rPr>
                <w:i/>
                <w:lang w:val="fr-BE"/>
              </w:rPr>
              <w:t xml:space="preserve">Utiliser une clé dichotomique </w:t>
            </w:r>
            <w:r w:rsidRPr="007E42A8">
              <w:rPr>
                <w:lang w:val="fr-BE"/>
              </w:rPr>
              <w:t>pour déterminer les arbres à l’aide de leurs feuilles ou pour identifier les insectes.</w:t>
            </w:r>
          </w:p>
          <w:p w14:paraId="28DAAEC1" w14:textId="77777777" w:rsidR="007E42A8" w:rsidRPr="007E42A8" w:rsidRDefault="007E42A8" w:rsidP="007F13B2">
            <w:pPr>
              <w:pStyle w:val="Paragraphedeliste"/>
              <w:numPr>
                <w:ilvl w:val="0"/>
                <w:numId w:val="2"/>
              </w:numPr>
              <w:spacing w:after="160" w:line="254" w:lineRule="auto"/>
              <w:rPr>
                <w:lang w:val="fr-BE"/>
              </w:rPr>
            </w:pPr>
            <w:r w:rsidRPr="007E42A8">
              <w:rPr>
                <w:i/>
                <w:lang w:val="fr-BE"/>
              </w:rPr>
              <w:t xml:space="preserve">Ecouter le chant des oiseaux : </w:t>
            </w:r>
            <w:r w:rsidRPr="007E42A8">
              <w:rPr>
                <w:lang w:val="fr-BE"/>
              </w:rPr>
              <w:t>reconnaitre le chant du  merle parmi les  chants d’oiseaux</w:t>
            </w:r>
          </w:p>
        </w:tc>
      </w:tr>
      <w:tr w:rsidR="007E42A8" w:rsidRPr="007E42A8" w14:paraId="20BCC170" w14:textId="77777777" w:rsidTr="006906BB">
        <w:tc>
          <w:tcPr>
            <w:tcW w:w="2689" w:type="dxa"/>
            <w:tcBorders>
              <w:top w:val="single" w:sz="4" w:space="0" w:color="auto"/>
              <w:left w:val="single" w:sz="4" w:space="0" w:color="auto"/>
              <w:bottom w:val="single" w:sz="4" w:space="0" w:color="auto"/>
              <w:right w:val="single" w:sz="4" w:space="0" w:color="auto"/>
            </w:tcBorders>
          </w:tcPr>
          <w:p w14:paraId="0332236C" w14:textId="77777777" w:rsidR="007E42A8" w:rsidRPr="007E42A8" w:rsidRDefault="007E42A8">
            <w:r w:rsidRPr="007E42A8">
              <w:t>Zone 4</w:t>
            </w:r>
          </w:p>
          <w:p w14:paraId="35859AC3" w14:textId="77777777" w:rsidR="007E42A8" w:rsidRPr="006906BB" w:rsidRDefault="007E42A8">
            <w:r w:rsidRPr="006906BB">
              <w:t>« J’apprends dehors »</w:t>
            </w:r>
          </w:p>
          <w:p w14:paraId="618EEAFB" w14:textId="77777777" w:rsidR="007E42A8" w:rsidRPr="007E42A8" w:rsidRDefault="007E42A8"/>
        </w:tc>
        <w:tc>
          <w:tcPr>
            <w:tcW w:w="6707" w:type="dxa"/>
            <w:tcBorders>
              <w:top w:val="single" w:sz="4" w:space="0" w:color="auto"/>
              <w:left w:val="single" w:sz="4" w:space="0" w:color="auto"/>
              <w:bottom w:val="single" w:sz="4" w:space="0" w:color="auto"/>
              <w:right w:val="single" w:sz="4" w:space="0" w:color="auto"/>
            </w:tcBorders>
          </w:tcPr>
          <w:p w14:paraId="42D97C3F" w14:textId="77777777" w:rsidR="007E42A8" w:rsidRPr="007E42A8" w:rsidRDefault="007E42A8" w:rsidP="007F13B2">
            <w:pPr>
              <w:pStyle w:val="Paragraphedeliste"/>
              <w:numPr>
                <w:ilvl w:val="0"/>
                <w:numId w:val="2"/>
              </w:numPr>
              <w:spacing w:after="160" w:line="254" w:lineRule="auto"/>
              <w:rPr>
                <w:i/>
                <w:lang w:val="fr-BE"/>
              </w:rPr>
            </w:pPr>
            <w:r w:rsidRPr="007E42A8">
              <w:rPr>
                <w:i/>
                <w:lang w:val="fr-BE"/>
              </w:rPr>
              <w:t>Calculer l’âge d’un arbre *</w:t>
            </w:r>
            <w:r w:rsidRPr="007E42A8">
              <w:rPr>
                <w:lang w:val="fr-BE"/>
              </w:rPr>
              <w:t>L’enseignant explique comment grandit un arbre et ce que les cernes racontent de sa vie. Puis la classe choisit une souche ou un tronc coupé et les enfants comptent les cernes pour déterminer l’âge.</w:t>
            </w:r>
          </w:p>
          <w:p w14:paraId="2C80474B" w14:textId="77777777" w:rsidR="007E42A8" w:rsidRPr="007E42A8" w:rsidRDefault="007E42A8" w:rsidP="007F13B2">
            <w:pPr>
              <w:pStyle w:val="Paragraphedeliste"/>
              <w:numPr>
                <w:ilvl w:val="0"/>
                <w:numId w:val="2"/>
              </w:numPr>
              <w:spacing w:after="160" w:line="254" w:lineRule="auto"/>
              <w:rPr>
                <w:i/>
                <w:lang w:val="fr-BE"/>
              </w:rPr>
            </w:pPr>
            <w:r w:rsidRPr="007E42A8">
              <w:rPr>
                <w:i/>
                <w:lang w:val="fr-BE"/>
              </w:rPr>
              <w:t>Mener une recherche pour savoir comment il se fait que les feuilles qui tombent en automne ne s’amoncèlent pas d’année en année.</w:t>
            </w:r>
            <w:r w:rsidRPr="007E42A8">
              <w:rPr>
                <w:lang w:val="fr-BE"/>
              </w:rPr>
              <w:t xml:space="preserve"> Mener des observations sur le terrain et en classe pour construire une explication raisonnée et savoir expliquer la décomposition de la matière organique.</w:t>
            </w:r>
          </w:p>
          <w:p w14:paraId="503BC9E2" w14:textId="77777777" w:rsidR="007E42A8" w:rsidRPr="007E42A8" w:rsidRDefault="007E42A8"/>
        </w:tc>
      </w:tr>
    </w:tbl>
    <w:p w14:paraId="0455B378" w14:textId="77777777" w:rsidR="007E42A8" w:rsidRPr="007E42A8" w:rsidRDefault="007E42A8" w:rsidP="007E42A8"/>
    <w:p w14:paraId="66D2A489" w14:textId="77777777" w:rsidR="007E42A8" w:rsidRPr="007E42A8" w:rsidRDefault="007E42A8" w:rsidP="007E42A8"/>
    <w:p w14:paraId="39FF0079" w14:textId="77777777" w:rsidR="007E42A8" w:rsidRDefault="006906BB" w:rsidP="007E42A8">
      <w:r>
        <w:t>L</w:t>
      </w:r>
      <w:r w:rsidR="007E42A8" w:rsidRPr="007E42A8">
        <w:t>a plupart</w:t>
      </w:r>
      <w:r>
        <w:t xml:space="preserve"> des activités consultées dans l</w:t>
      </w:r>
      <w:r w:rsidR="007E42A8" w:rsidRPr="007E42A8">
        <w:t xml:space="preserve">es ressources à notre disposition (guides et manuels pour enseignants et animateurs, livresques </w:t>
      </w:r>
      <w:r>
        <w:t>ou numériques), peuvent être assignées</w:t>
      </w:r>
      <w:r w:rsidR="0087233C">
        <w:t xml:space="preserve"> zones 1 et 2 du tableau : « Je me débrouille dehors » et « J</w:t>
      </w:r>
      <w:r w:rsidR="007E42A8" w:rsidRPr="007E42A8">
        <w:t xml:space="preserve">e me sens bien dehors » (Fig. 2.) et cela, même pour des activités annoncées comme plus formelles et disciplinaires par les auteurs. </w:t>
      </w:r>
      <w:r w:rsidR="007E42A8">
        <w:t>Lorsqu’il s’agit d’auteurs enseignants ou formateurs d’enseignants, les propositions d’activités décrivent des démarches q</w:t>
      </w:r>
      <w:r w:rsidR="0087233C">
        <w:t>ue nous classons en zone 4 : « J</w:t>
      </w:r>
      <w:r w:rsidR="007E42A8">
        <w:t>’apprends dehors ». Toutefois, ces ressources sont moins nombreuses ou incomplètes au niveau de la formalisation des apprentissages. En effet, les didactiques disciplinaires y sont généralement peu convoquées : les activités de sciences semblent anecdotiques, contextualisées dehors, certes, mais décontextualisées d’un processus didactique précis. Nous identifions là un aspect de l’exercice de l’École du dehors à questionner dans la suite de notre recherche.</w:t>
      </w:r>
    </w:p>
    <w:p w14:paraId="06C20098" w14:textId="77777777" w:rsidR="00F106CE" w:rsidRDefault="00270D0A" w:rsidP="007E42A8">
      <w:r>
        <w:t>Si ce schéma propose les grandes orientations d</w:t>
      </w:r>
      <w:r w:rsidR="00AD6CA5">
        <w:t xml:space="preserve">es activités dehors, une </w:t>
      </w:r>
      <w:r>
        <w:t>finalité pourtant souvent évoquée par les praticiens (</w:t>
      </w:r>
      <w:proofErr w:type="spellStart"/>
      <w:proofErr w:type="gramStart"/>
      <w:r>
        <w:t>animateurs.trices</w:t>
      </w:r>
      <w:proofErr w:type="spellEnd"/>
      <w:proofErr w:type="gramEnd"/>
      <w:r>
        <w:t xml:space="preserve"> ou </w:t>
      </w:r>
      <w:proofErr w:type="spellStart"/>
      <w:r>
        <w:t>enseignant.e.s</w:t>
      </w:r>
      <w:proofErr w:type="spellEnd"/>
      <w:r>
        <w:t xml:space="preserve">) </w:t>
      </w:r>
      <w:r w:rsidR="00AD6CA5">
        <w:t>n’y apparait pas nettement. Il s’agit de l’éducation à la citoyenneté dans sa dimension éducation à</w:t>
      </w:r>
      <w:r>
        <w:t xml:space="preserve"> l’environnement.</w:t>
      </w:r>
      <w:r w:rsidR="00AD6CA5">
        <w:t xml:space="preserve"> </w:t>
      </w:r>
      <w:r w:rsidR="00F106CE">
        <w:t>Si pour les enseignants la poursuite de cette finalité éducative est une évidence, l</w:t>
      </w:r>
      <w:r w:rsidR="00AD6CA5">
        <w:t>e lien entre</w:t>
      </w:r>
      <w:r w:rsidR="00F106CE">
        <w:t xml:space="preserve"> l</w:t>
      </w:r>
      <w:r w:rsidR="00AD6CA5">
        <w:t>es activité</w:t>
      </w:r>
      <w:r w:rsidR="00F106CE">
        <w:t xml:space="preserve">s qu’ils proposent et cette </w:t>
      </w:r>
      <w:r w:rsidR="00E8766A">
        <w:t>dimension n’est pas limpide.</w:t>
      </w:r>
      <w:r w:rsidR="00AD6CA5">
        <w:t xml:space="preserve"> Nous avons posé l’hypot</w:t>
      </w:r>
      <w:r w:rsidR="00F106CE">
        <w:t xml:space="preserve">hèse à ce stade que c’est </w:t>
      </w:r>
      <w:r>
        <w:t>l’ensemble de ce qui est vécu dehors qui contribue à cette éducation</w:t>
      </w:r>
      <w:r w:rsidR="00F106CE">
        <w:t xml:space="preserve"> citoyenne. Cette supposition se traduit dans le schéma de la figure 1 par la spirale centrale.</w:t>
      </w:r>
    </w:p>
    <w:p w14:paraId="5B9D8A81" w14:textId="77777777" w:rsidR="00C015F3" w:rsidRDefault="00270D0A" w:rsidP="007E42A8">
      <w:r>
        <w:t xml:space="preserve"> </w:t>
      </w:r>
      <w:r w:rsidR="00ED3AD9">
        <w:t>Cette question est travaillée par une équipe de chercheurs</w:t>
      </w:r>
      <w:r w:rsidR="00C015F3">
        <w:t xml:space="preserve"> (ASBL </w:t>
      </w:r>
      <w:proofErr w:type="spellStart"/>
      <w:r w:rsidR="00C015F3">
        <w:t>Ecotopie</w:t>
      </w:r>
      <w:proofErr w:type="spellEnd"/>
      <w:r w:rsidR="00C015F3">
        <w:t>). Leur étude</w:t>
      </w:r>
      <w:r w:rsidR="00AD6CA5">
        <w:rPr>
          <w:rStyle w:val="Appelnotedebasdep"/>
        </w:rPr>
        <w:footnoteReference w:id="1"/>
      </w:r>
      <w:r w:rsidR="00C015F3">
        <w:t xml:space="preserve"> </w:t>
      </w:r>
      <w:r w:rsidR="00AD6CA5" w:rsidRPr="00AD6CA5">
        <w:t xml:space="preserve">vise à explorer les liens entre les pratiques pédagogiques « dehors » et le développement de </w:t>
      </w:r>
      <w:r w:rsidR="00AD6CA5" w:rsidRPr="00AD6CA5">
        <w:lastRenderedPageBreak/>
        <w:t xml:space="preserve">l’écocitoyenneté chez les enfants, elle </w:t>
      </w:r>
      <w:r w:rsidR="00C015F3">
        <w:t>apporte</w:t>
      </w:r>
      <w:r w:rsidR="00ED3AD9">
        <w:t xml:space="preserve"> de</w:t>
      </w:r>
      <w:r w:rsidR="00C015F3">
        <w:t>s précisions à propos de ce qui contribue à l’éducation à l’environnement dans ce contexte.</w:t>
      </w:r>
    </w:p>
    <w:p w14:paraId="45D7550C" w14:textId="77777777" w:rsidR="0080671D" w:rsidRPr="00E8766A" w:rsidRDefault="00F106CE">
      <w:pPr>
        <w:rPr>
          <w:color w:val="000000"/>
        </w:rPr>
      </w:pPr>
      <w:r>
        <w:t>Une version du</w:t>
      </w:r>
      <w:r w:rsidR="0087233C">
        <w:t xml:space="preserve"> schéma</w:t>
      </w:r>
      <w:r>
        <w:t xml:space="preserve"> présenté plus haut</w:t>
      </w:r>
      <w:r w:rsidR="0087233C">
        <w:t xml:space="preserve"> a été publiée dans un article</w:t>
      </w:r>
      <w:r w:rsidR="00232BAD">
        <w:t xml:space="preserve"> </w:t>
      </w:r>
      <w:r w:rsidR="00E8766A">
        <w:t xml:space="preserve">de la revue Symbiose. </w:t>
      </w:r>
    </w:p>
    <w:p w14:paraId="70E6938F" w14:textId="77777777" w:rsidR="00D10690" w:rsidRPr="0080671D" w:rsidRDefault="0080671D">
      <w:pPr>
        <w:rPr>
          <w:sz w:val="20"/>
          <w:szCs w:val="20"/>
          <w:lang w:val="fr-BE" w:eastAsia="en-US"/>
        </w:rPr>
      </w:pPr>
      <w:r w:rsidRPr="0080671D">
        <w:rPr>
          <w:color w:val="000000"/>
          <w:sz w:val="20"/>
          <w:szCs w:val="20"/>
          <w:lang w:val="fr-BE"/>
        </w:rPr>
        <w:t xml:space="preserve">Daro, S. (2022). L’école du dehors : ce qui s’y vit, ce qui s’y vise. </w:t>
      </w:r>
      <w:r w:rsidRPr="0080671D">
        <w:rPr>
          <w:i/>
          <w:iCs/>
          <w:color w:val="000000"/>
          <w:sz w:val="20"/>
          <w:szCs w:val="20"/>
          <w:lang w:val="fr-BE"/>
        </w:rPr>
        <w:t>SYMBIOSES Le magazine de l’Education relative à l’environnement (</w:t>
      </w:r>
      <w:proofErr w:type="spellStart"/>
      <w:r w:rsidRPr="0080671D">
        <w:rPr>
          <w:i/>
          <w:iCs/>
          <w:color w:val="000000"/>
          <w:sz w:val="20"/>
          <w:szCs w:val="20"/>
          <w:lang w:val="fr-BE"/>
        </w:rPr>
        <w:t>ErE</w:t>
      </w:r>
      <w:proofErr w:type="spellEnd"/>
      <w:r w:rsidRPr="0080671D">
        <w:rPr>
          <w:i/>
          <w:iCs/>
          <w:color w:val="000000"/>
          <w:sz w:val="20"/>
          <w:szCs w:val="20"/>
          <w:lang w:val="fr-BE"/>
        </w:rPr>
        <w:t xml:space="preserve">) Dehors pour apprendre- Pratiques d’éducation par la nature, </w:t>
      </w:r>
      <w:r w:rsidRPr="0080671D">
        <w:rPr>
          <w:color w:val="000000"/>
          <w:sz w:val="20"/>
          <w:szCs w:val="20"/>
          <w:lang w:val="fr-BE"/>
        </w:rPr>
        <w:t>136, pp10-11</w:t>
      </w:r>
    </w:p>
    <w:p w14:paraId="58B7CBDC" w14:textId="751AF5AE" w:rsidR="00F928FB" w:rsidRPr="00D10690" w:rsidRDefault="00586E40">
      <w:pPr>
        <w:rPr>
          <w:noProof/>
          <w:lang w:val="fr-BE" w:eastAsia="en-US"/>
        </w:rPr>
      </w:pPr>
      <w:r>
        <w:rPr>
          <w:noProof/>
          <w:lang w:val="en-US" w:eastAsia="en-US"/>
        </w:rPr>
        <w:drawing>
          <wp:anchor distT="0" distB="0" distL="114300" distR="114300" simplePos="0" relativeHeight="251660288" behindDoc="1" locked="0" layoutInCell="1" allowOverlap="1" wp14:anchorId="2E92B8CF" wp14:editId="2AEF57C1">
            <wp:simplePos x="0" y="0"/>
            <wp:positionH relativeFrom="column">
              <wp:posOffset>-23495</wp:posOffset>
            </wp:positionH>
            <wp:positionV relativeFrom="paragraph">
              <wp:posOffset>192405</wp:posOffset>
            </wp:positionV>
            <wp:extent cx="2792730" cy="3891915"/>
            <wp:effectExtent l="0" t="0" r="7620" b="0"/>
            <wp:wrapTight wrapText="bothSides">
              <wp:wrapPolygon edited="0">
                <wp:start x="0" y="0"/>
                <wp:lineTo x="0" y="21463"/>
                <wp:lineTo x="21512" y="21463"/>
                <wp:lineTo x="21512" y="0"/>
                <wp:lineTo x="0" y="0"/>
              </wp:wrapPolygon>
            </wp:wrapTight>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2730" cy="3891915"/>
                    </a:xfrm>
                    <a:prstGeom prst="rect">
                      <a:avLst/>
                    </a:prstGeom>
                    <a:noFill/>
                  </pic:spPr>
                </pic:pic>
              </a:graphicData>
            </a:graphic>
          </wp:anchor>
        </w:drawing>
      </w:r>
    </w:p>
    <w:p w14:paraId="1E149AF4" w14:textId="64EFCEC6" w:rsidR="00D10690" w:rsidRPr="00D10690" w:rsidRDefault="00586E40" w:rsidP="00586E40">
      <w:pPr>
        <w:spacing w:after="160" w:line="259" w:lineRule="auto"/>
        <w:contextualSpacing w:val="0"/>
        <w:jc w:val="left"/>
        <w:rPr>
          <w:noProof/>
          <w:lang w:val="fr-BE" w:eastAsia="en-US"/>
        </w:rPr>
      </w:pPr>
      <w:r>
        <w:rPr>
          <w:noProof/>
          <w:lang w:val="en-US" w:eastAsia="en-US"/>
        </w:rPr>
        <w:lastRenderedPageBreak/>
        <w:drawing>
          <wp:anchor distT="0" distB="0" distL="114300" distR="114300" simplePos="0" relativeHeight="251665408" behindDoc="0" locked="0" layoutInCell="1" allowOverlap="1" wp14:anchorId="1B037CB0" wp14:editId="665F3383">
            <wp:simplePos x="0" y="0"/>
            <wp:positionH relativeFrom="margin">
              <wp:posOffset>-1490345</wp:posOffset>
            </wp:positionH>
            <wp:positionV relativeFrom="paragraph">
              <wp:posOffset>1261110</wp:posOffset>
            </wp:positionV>
            <wp:extent cx="9077960" cy="6555740"/>
            <wp:effectExtent l="3810" t="0" r="6350" b="6350"/>
            <wp:wrapThrough wrapText="bothSides">
              <wp:wrapPolygon edited="0">
                <wp:start x="21591" y="-13"/>
                <wp:lineTo x="15" y="-13"/>
                <wp:lineTo x="15" y="21579"/>
                <wp:lineTo x="21591" y="21579"/>
                <wp:lineTo x="21591" y="-13"/>
              </wp:wrapPolygon>
            </wp:wrapThrough>
            <wp:docPr id="305254901" name="Image 305254901" descr="Une image contenant texte, capture d’écran,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54901" name="Image 305254901" descr="Une image contenant texte, capture d’écran, personn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rot="16200000">
                      <a:off x="0" y="0"/>
                      <a:ext cx="9077960" cy="6555740"/>
                    </a:xfrm>
                    <a:prstGeom prst="rect">
                      <a:avLst/>
                    </a:prstGeom>
                  </pic:spPr>
                </pic:pic>
              </a:graphicData>
            </a:graphic>
            <wp14:sizeRelH relativeFrom="margin">
              <wp14:pctWidth>0</wp14:pctWidth>
            </wp14:sizeRelH>
            <wp14:sizeRelV relativeFrom="margin">
              <wp14:pctHeight>0</wp14:pctHeight>
            </wp14:sizeRelV>
          </wp:anchor>
        </w:drawing>
      </w:r>
    </w:p>
    <w:sectPr w:rsidR="00D10690" w:rsidRPr="00D10690" w:rsidSect="00314532">
      <w:pgSz w:w="12240" w:h="15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FA70" w14:textId="77777777" w:rsidR="00314532" w:rsidRDefault="00314532" w:rsidP="00AD6CA5">
      <w:pPr>
        <w:spacing w:after="0" w:line="240" w:lineRule="auto"/>
      </w:pPr>
      <w:r>
        <w:separator/>
      </w:r>
    </w:p>
  </w:endnote>
  <w:endnote w:type="continuationSeparator" w:id="0">
    <w:p w14:paraId="773C3D2F" w14:textId="77777777" w:rsidR="00314532" w:rsidRDefault="00314532" w:rsidP="00AD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ExtraLight-Plai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D975" w14:textId="77777777" w:rsidR="00314532" w:rsidRDefault="00314532" w:rsidP="00AD6CA5">
      <w:pPr>
        <w:spacing w:after="0" w:line="240" w:lineRule="auto"/>
      </w:pPr>
      <w:r>
        <w:separator/>
      </w:r>
    </w:p>
  </w:footnote>
  <w:footnote w:type="continuationSeparator" w:id="0">
    <w:p w14:paraId="4672A064" w14:textId="77777777" w:rsidR="00314532" w:rsidRDefault="00314532" w:rsidP="00AD6CA5">
      <w:pPr>
        <w:spacing w:after="0" w:line="240" w:lineRule="auto"/>
      </w:pPr>
      <w:r>
        <w:continuationSeparator/>
      </w:r>
    </w:p>
  </w:footnote>
  <w:footnote w:id="1">
    <w:p w14:paraId="32B14F3E" w14:textId="77777777" w:rsidR="00AD6CA5" w:rsidRDefault="00AD6CA5" w:rsidP="00AD6CA5">
      <w:pPr>
        <w:rPr>
          <w:rStyle w:val="fontstyle01"/>
        </w:rPr>
      </w:pPr>
      <w:r>
        <w:rPr>
          <w:rStyle w:val="Appelnotedebasdep"/>
        </w:rPr>
        <w:footnoteRef/>
      </w:r>
      <w:r>
        <w:t xml:space="preserve"> </w:t>
      </w:r>
      <w:r w:rsidRPr="00AD6CA5">
        <w:rPr>
          <w:rStyle w:val="fontstyle01"/>
        </w:rPr>
        <w:t>R</w:t>
      </w:r>
      <w:r>
        <w:rPr>
          <w:rStyle w:val="fontstyle01"/>
        </w:rPr>
        <w:t xml:space="preserve">echerche-action sur les liens unissant éducation par la nature et écocitoyenneté, menée en 2021 par </w:t>
      </w:r>
      <w:proofErr w:type="spellStart"/>
      <w:r>
        <w:rPr>
          <w:rStyle w:val="fontstyle01"/>
        </w:rPr>
        <w:t>Ecotopie</w:t>
      </w:r>
      <w:proofErr w:type="spellEnd"/>
      <w:r>
        <w:rPr>
          <w:rStyle w:val="fontstyle01"/>
        </w:rPr>
        <w:t xml:space="preserve">: </w:t>
      </w:r>
      <w:hyperlink r:id="rId1" w:history="1">
        <w:r w:rsidRPr="004B3CCC">
          <w:rPr>
            <w:rStyle w:val="Lienhypertexte"/>
            <w:rFonts w:ascii="TheSansExtraLight-Plain" w:hAnsi="TheSansExtraLight-Plain"/>
            <w:sz w:val="16"/>
            <w:szCs w:val="16"/>
          </w:rPr>
          <w:t>https://ecotopie.be/recherche/ecocitoyennete-education-dehors</w:t>
        </w:r>
      </w:hyperlink>
    </w:p>
    <w:p w14:paraId="5739D3EA" w14:textId="77777777" w:rsidR="00AD6CA5" w:rsidRDefault="00AD6CA5" w:rsidP="00AD6CA5"/>
    <w:p w14:paraId="6083A268" w14:textId="77777777" w:rsidR="00AD6CA5" w:rsidRPr="00AD6CA5" w:rsidRDefault="00AD6CA5" w:rsidP="00AD6CA5">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271"/>
    <w:multiLevelType w:val="hybridMultilevel"/>
    <w:tmpl w:val="84A4292A"/>
    <w:lvl w:ilvl="0" w:tplc="3F4A5880">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5AAE1C4E"/>
    <w:multiLevelType w:val="hybridMultilevel"/>
    <w:tmpl w:val="E6108A14"/>
    <w:lvl w:ilvl="0" w:tplc="4F8410E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0622284">
    <w:abstractNumId w:val="0"/>
  </w:num>
  <w:num w:numId="2" w16cid:durableId="148959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9B"/>
    <w:rsid w:val="00232BAD"/>
    <w:rsid w:val="00270D0A"/>
    <w:rsid w:val="00314532"/>
    <w:rsid w:val="004B297E"/>
    <w:rsid w:val="005034A8"/>
    <w:rsid w:val="00586E40"/>
    <w:rsid w:val="006906BB"/>
    <w:rsid w:val="0073569B"/>
    <w:rsid w:val="007777A5"/>
    <w:rsid w:val="007E42A8"/>
    <w:rsid w:val="0080671D"/>
    <w:rsid w:val="00824762"/>
    <w:rsid w:val="0087233C"/>
    <w:rsid w:val="008751B2"/>
    <w:rsid w:val="00AD6CA5"/>
    <w:rsid w:val="00C015F3"/>
    <w:rsid w:val="00C91ECE"/>
    <w:rsid w:val="00D10690"/>
    <w:rsid w:val="00E8766A"/>
    <w:rsid w:val="00ED3AD9"/>
    <w:rsid w:val="00F106CE"/>
    <w:rsid w:val="00F9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AC7C"/>
  <w15:chartTrackingRefBased/>
  <w15:docId w15:val="{D1540222-896B-441C-86C1-965B5B65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A8"/>
    <w:pPr>
      <w:spacing w:after="120" w:line="320" w:lineRule="exact"/>
      <w:contextualSpacing/>
      <w:jc w:val="both"/>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7E42A8"/>
    <w:pPr>
      <w:spacing w:after="160" w:line="240" w:lineRule="auto"/>
      <w:contextualSpacing w:val="0"/>
      <w:jc w:val="left"/>
    </w:pPr>
    <w:rPr>
      <w:rFonts w:asciiTheme="minorHAnsi" w:eastAsiaTheme="minorEastAsia" w:hAnsiTheme="minorHAnsi" w:cstheme="minorBidi"/>
      <w:sz w:val="20"/>
      <w:szCs w:val="20"/>
      <w:lang w:val="fr-BE" w:eastAsia="en-US"/>
    </w:rPr>
  </w:style>
  <w:style w:type="character" w:customStyle="1" w:styleId="CommentaireCar">
    <w:name w:val="Commentaire Car"/>
    <w:basedOn w:val="Policepardfaut"/>
    <w:link w:val="Commentaire"/>
    <w:uiPriority w:val="99"/>
    <w:semiHidden/>
    <w:rsid w:val="007E42A8"/>
    <w:rPr>
      <w:rFonts w:eastAsiaTheme="minorEastAsia"/>
      <w:sz w:val="20"/>
      <w:szCs w:val="20"/>
      <w:lang w:val="fr-BE"/>
    </w:rPr>
  </w:style>
  <w:style w:type="character" w:customStyle="1" w:styleId="ParagraphedelisteCar">
    <w:name w:val="Paragraphe de liste Car"/>
    <w:basedOn w:val="Policepardfaut"/>
    <w:link w:val="Paragraphedeliste"/>
    <w:locked/>
    <w:rsid w:val="007E42A8"/>
    <w:rPr>
      <w:sz w:val="24"/>
      <w:szCs w:val="24"/>
    </w:rPr>
  </w:style>
  <w:style w:type="paragraph" w:styleId="Paragraphedeliste">
    <w:name w:val="List Paragraph"/>
    <w:basedOn w:val="Normal"/>
    <w:link w:val="ParagraphedelisteCar"/>
    <w:qFormat/>
    <w:rsid w:val="007E42A8"/>
    <w:pPr>
      <w:numPr>
        <w:numId w:val="1"/>
      </w:numPr>
    </w:pPr>
    <w:rPr>
      <w:rFonts w:asciiTheme="minorHAnsi" w:eastAsiaTheme="minorHAnsi" w:hAnsiTheme="minorHAnsi" w:cstheme="minorBidi"/>
      <w:lang w:val="en-US" w:eastAsia="en-US"/>
    </w:rPr>
  </w:style>
  <w:style w:type="paragraph" w:customStyle="1" w:styleId="Legende">
    <w:name w:val="Legende"/>
    <w:basedOn w:val="Normal"/>
    <w:next w:val="Normal"/>
    <w:uiPriority w:val="99"/>
    <w:rsid w:val="007E42A8"/>
    <w:pPr>
      <w:spacing w:before="120"/>
      <w:ind w:left="851" w:right="851"/>
      <w:jc w:val="center"/>
    </w:pPr>
    <w:rPr>
      <w:sz w:val="22"/>
      <w:szCs w:val="22"/>
    </w:rPr>
  </w:style>
  <w:style w:type="character" w:styleId="Marquedecommentaire">
    <w:name w:val="annotation reference"/>
    <w:basedOn w:val="Policepardfaut"/>
    <w:uiPriority w:val="99"/>
    <w:semiHidden/>
    <w:unhideWhenUsed/>
    <w:rsid w:val="007E42A8"/>
    <w:rPr>
      <w:sz w:val="16"/>
      <w:szCs w:val="16"/>
    </w:rPr>
  </w:style>
  <w:style w:type="table" w:styleId="Grilledutableau">
    <w:name w:val="Table Grid"/>
    <w:basedOn w:val="TableauNormal"/>
    <w:rsid w:val="007E42A8"/>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E42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2A8"/>
    <w:rPr>
      <w:rFonts w:ascii="Segoe UI" w:eastAsia="Times New Roman" w:hAnsi="Segoe UI" w:cs="Segoe UI"/>
      <w:sz w:val="18"/>
      <w:szCs w:val="18"/>
      <w:lang w:val="fr-FR" w:eastAsia="fr-FR"/>
    </w:rPr>
  </w:style>
  <w:style w:type="character" w:customStyle="1" w:styleId="fontstyle01">
    <w:name w:val="fontstyle01"/>
    <w:basedOn w:val="Policepardfaut"/>
    <w:rsid w:val="00AD6CA5"/>
    <w:rPr>
      <w:rFonts w:ascii="TheSansExtraLight-Plain" w:hAnsi="TheSansExtraLight-Plain" w:hint="default"/>
      <w:b w:val="0"/>
      <w:bCs w:val="0"/>
      <w:i w:val="0"/>
      <w:iCs w:val="0"/>
      <w:color w:val="541812"/>
      <w:sz w:val="16"/>
      <w:szCs w:val="16"/>
    </w:rPr>
  </w:style>
  <w:style w:type="paragraph" w:styleId="Notedebasdepage">
    <w:name w:val="footnote text"/>
    <w:basedOn w:val="Normal"/>
    <w:link w:val="NotedebasdepageCar"/>
    <w:uiPriority w:val="99"/>
    <w:semiHidden/>
    <w:unhideWhenUsed/>
    <w:rsid w:val="00AD6C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6CA5"/>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D6CA5"/>
    <w:rPr>
      <w:vertAlign w:val="superscript"/>
    </w:rPr>
  </w:style>
  <w:style w:type="character" w:styleId="Lienhypertexte">
    <w:name w:val="Hyperlink"/>
    <w:basedOn w:val="Policepardfaut"/>
    <w:uiPriority w:val="99"/>
    <w:unhideWhenUsed/>
    <w:rsid w:val="00AD6CA5"/>
    <w:rPr>
      <w:color w:val="0563C1" w:themeColor="hyperlink"/>
      <w:u w:val="single"/>
    </w:rPr>
  </w:style>
  <w:style w:type="paragraph" w:styleId="En-tte">
    <w:name w:val="header"/>
    <w:basedOn w:val="Normal"/>
    <w:link w:val="En-tteCar"/>
    <w:uiPriority w:val="99"/>
    <w:unhideWhenUsed/>
    <w:rsid w:val="00586E40"/>
    <w:pPr>
      <w:tabs>
        <w:tab w:val="center" w:pos="4536"/>
        <w:tab w:val="right" w:pos="9072"/>
      </w:tabs>
      <w:spacing w:after="0" w:line="240" w:lineRule="auto"/>
    </w:pPr>
  </w:style>
  <w:style w:type="character" w:customStyle="1" w:styleId="En-tteCar">
    <w:name w:val="En-tête Car"/>
    <w:basedOn w:val="Policepardfaut"/>
    <w:link w:val="En-tte"/>
    <w:uiPriority w:val="99"/>
    <w:rsid w:val="00586E4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586E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E40"/>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701">
      <w:bodyDiv w:val="1"/>
      <w:marLeft w:val="0"/>
      <w:marRight w:val="0"/>
      <w:marTop w:val="0"/>
      <w:marBottom w:val="0"/>
      <w:divBdr>
        <w:top w:val="none" w:sz="0" w:space="0" w:color="auto"/>
        <w:left w:val="none" w:sz="0" w:space="0" w:color="auto"/>
        <w:bottom w:val="none" w:sz="0" w:space="0" w:color="auto"/>
        <w:right w:val="none" w:sz="0" w:space="0" w:color="auto"/>
      </w:divBdr>
    </w:div>
    <w:div w:id="468595651">
      <w:bodyDiv w:val="1"/>
      <w:marLeft w:val="0"/>
      <w:marRight w:val="0"/>
      <w:marTop w:val="0"/>
      <w:marBottom w:val="0"/>
      <w:divBdr>
        <w:top w:val="none" w:sz="0" w:space="0" w:color="auto"/>
        <w:left w:val="none" w:sz="0" w:space="0" w:color="auto"/>
        <w:bottom w:val="none" w:sz="0" w:space="0" w:color="auto"/>
        <w:right w:val="none" w:sz="0" w:space="0" w:color="auto"/>
      </w:divBdr>
    </w:div>
    <w:div w:id="17541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otopie.be/recherche/ecocitoyennete-education-deho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2C83-CAF3-4ED2-B8DB-77BD504D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1023</Words>
  <Characters>5628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Doris Michel (Hypothese)</cp:lastModifiedBy>
  <cp:revision>6</cp:revision>
  <dcterms:created xsi:type="dcterms:W3CDTF">2023-03-21T11:14:00Z</dcterms:created>
  <dcterms:modified xsi:type="dcterms:W3CDTF">2024-04-17T12:58:00Z</dcterms:modified>
</cp:coreProperties>
</file>